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Столична юстиція консультує: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 xml:space="preserve"> бути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застосовано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кримінальну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заборгованість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905045">
        <w:rPr>
          <w:rFonts w:ascii="Times New Roman" w:hAnsi="Times New Roman" w:cs="Times New Roman"/>
          <w:b/>
          <w:bCs/>
          <w:sz w:val="28"/>
          <w:szCs w:val="28"/>
        </w:rPr>
        <w:t>аліментах</w:t>
      </w:r>
      <w:proofErr w:type="spellEnd"/>
      <w:r w:rsidRPr="0090504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виплачувати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стягувач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особи органу,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початок </w:t>
      </w:r>
      <w:bookmarkStart w:id="0" w:name="_GoBack"/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0504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164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злісне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).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злісне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злісне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непрацездатних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Злісними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неплатниками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вчиняють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суду,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сукупно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 три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приховування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приватного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застосоване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:</w:t>
      </w:r>
    </w:p>
    <w:p w:rsidR="00905045" w:rsidRPr="00905045" w:rsidRDefault="00905045" w:rsidP="009050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80 до 120 годин;</w:t>
      </w:r>
    </w:p>
    <w:p w:rsidR="00905045" w:rsidRPr="00905045" w:rsidRDefault="00905045" w:rsidP="009050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на строк до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;</w:t>
      </w:r>
    </w:p>
    <w:p w:rsidR="00905045" w:rsidRPr="00905045" w:rsidRDefault="00905045" w:rsidP="009050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строк до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bCs/>
          <w:sz w:val="28"/>
          <w:szCs w:val="28"/>
        </w:rPr>
        <w:t xml:space="preserve">В ЗМІ часто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говорять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нові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обмеження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неплатників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аліментів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 xml:space="preserve"> і коли вони </w:t>
      </w:r>
      <w:proofErr w:type="spellStart"/>
      <w:r w:rsidRPr="00905045">
        <w:rPr>
          <w:rFonts w:ascii="Times New Roman" w:hAnsi="Times New Roman" w:cs="Times New Roman"/>
          <w:bCs/>
          <w:sz w:val="28"/>
          <w:szCs w:val="28"/>
        </w:rPr>
        <w:t>застосовуються</w:t>
      </w:r>
      <w:proofErr w:type="spellEnd"/>
      <w:r w:rsidRPr="00905045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504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сукупно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), закон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неплатників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:</w:t>
      </w:r>
    </w:p>
    <w:p w:rsidR="00905045" w:rsidRPr="00905045" w:rsidRDefault="00905045" w:rsidP="009050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;</w:t>
      </w:r>
    </w:p>
    <w:p w:rsidR="00905045" w:rsidRPr="00905045" w:rsidRDefault="00905045" w:rsidP="009050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*;</w:t>
      </w:r>
    </w:p>
    <w:p w:rsidR="00905045" w:rsidRPr="00905045" w:rsidRDefault="00905045" w:rsidP="009050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;</w:t>
      </w:r>
    </w:p>
    <w:p w:rsidR="00905045" w:rsidRPr="00905045" w:rsidRDefault="00905045" w:rsidP="009050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>;</w:t>
      </w:r>
    </w:p>
    <w:p w:rsidR="00905045" w:rsidRPr="00905045" w:rsidRDefault="00905045" w:rsidP="009050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04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 кордон.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характер – до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боржником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> *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: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основного законного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;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I, II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>;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боржником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розстрочення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відстрочення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аліментами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905045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905045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905045" w:rsidRPr="00905045" w:rsidRDefault="00905045" w:rsidP="00905045">
      <w:pPr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> </w:t>
      </w:r>
    </w:p>
    <w:p w:rsidR="00D124FF" w:rsidRPr="00905045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90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A5F"/>
    <w:multiLevelType w:val="multilevel"/>
    <w:tmpl w:val="21E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34F1D"/>
    <w:multiLevelType w:val="multilevel"/>
    <w:tmpl w:val="A2D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5"/>
    <w:rsid w:val="0045365A"/>
    <w:rsid w:val="00905045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D9BD-2FC3-4A2D-8E47-CDBA055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2019-09-02T12:05:00Z</dcterms:created>
  <dcterms:modified xsi:type="dcterms:W3CDTF">2019-09-02T12:08:00Z</dcterms:modified>
</cp:coreProperties>
</file>