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1F" w:rsidRDefault="00B44826" w:rsidP="00BE0D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eastAsia="ru-RU"/>
        </w:rPr>
        <w:t>аборгован</w:t>
      </w:r>
      <w:r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val="uk-UA" w:eastAsia="ru-RU"/>
        </w:rPr>
        <w:t>ість</w:t>
      </w:r>
      <w:proofErr w:type="spellEnd"/>
      <w:r w:rsidR="00BE0D1F" w:rsidRPr="00BE0D1F"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E0D1F" w:rsidRPr="00BE0D1F"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="00BE0D1F" w:rsidRPr="00BE0D1F"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E0D1F" w:rsidRPr="00BE0D1F"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="00BE0D1F" w:rsidRPr="00BE0D1F"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E0D1F" w:rsidRPr="00BE0D1F"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</w:p>
    <w:p w:rsidR="00BE0D1F" w:rsidRPr="00BE0D1F" w:rsidRDefault="00BE0D1F" w:rsidP="00BE0D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1820"/>
          <w:sz w:val="28"/>
          <w:szCs w:val="28"/>
          <w:bdr w:val="none" w:sz="0" w:space="0" w:color="auto" w:frame="1"/>
          <w:lang w:val="uk-UA" w:eastAsia="ru-RU"/>
        </w:rPr>
      </w:pPr>
    </w:p>
    <w:p w:rsidR="00904A9E" w:rsidRDefault="00904A9E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Захист прав дітей – один із основних напрямків роботи Мін</w:t>
      </w:r>
      <w:r w:rsidRPr="00904A9E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юсту</w:t>
      </w:r>
      <w:proofErr w:type="spellEnd"/>
      <w:r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bookmarkStart w:id="0" w:name="_GoBack"/>
      <w:bookmarkEnd w:id="0"/>
    </w:p>
    <w:p w:rsidR="001100A1" w:rsidRPr="001100A1" w:rsidRDefault="001100A1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r w:rsidRPr="00BE0D1F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Відповідно до ч. 11 ст. 71 Закону № 1404-</w:t>
      </w: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VIII</w:t>
      </w:r>
      <w:r w:rsidRPr="00BE0D1F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, за наявності заборгованості зі сплати аліментів, сукупний розмір якої перевищує сум відповідних платежів за три місяці, державний виконавець роз'яснює стягува</w:t>
      </w:r>
      <w:r w:rsidR="00353F33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>ч</w:t>
      </w:r>
      <w:r w:rsidRPr="00BE0D1F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val="uk-UA" w:eastAsia="ru-RU"/>
        </w:rPr>
        <w:t xml:space="preserve">у право на звернення до органів досудового розслідування із заявою </w:t>
      </w: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повідомленням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)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вчинене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полягає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.</w:t>
      </w:r>
    </w:p>
    <w:p w:rsidR="001100A1" w:rsidRPr="001100A1" w:rsidRDefault="001100A1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ч.1 ст. 477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процесуального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обтяжуючих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обставин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віднесено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приватного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обвинувачення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отже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вказане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розпочате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слідчим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прокурором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підставі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заяви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даному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такою особою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виступає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стягував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.</w:t>
      </w:r>
    </w:p>
    <w:p w:rsidR="001100A1" w:rsidRPr="001100A1" w:rsidRDefault="001100A1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вказаної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державний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виконавець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вжити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заходи:</w:t>
      </w:r>
    </w:p>
    <w:p w:rsidR="001100A1" w:rsidRPr="001100A1" w:rsidRDefault="001100A1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5"/>
          <w:szCs w:val="25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перевірку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майнового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доходів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у строки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визначені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ст. 48 Закону № 1404-VIII, у тому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обов'язковому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Центрі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  та</w:t>
      </w:r>
      <w:proofErr w:type="gram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грошової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безробіттю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заходи,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передбачені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з метою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відомостей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засвідчують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спосіб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та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злісність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;</w:t>
      </w:r>
    </w:p>
    <w:p w:rsidR="001100A1" w:rsidRPr="001100A1" w:rsidRDefault="001100A1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5"/>
          <w:szCs w:val="25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чином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повідомляти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попереджувати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передбачена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визначена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ст. 164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матеріалах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;</w:t>
      </w:r>
    </w:p>
    <w:p w:rsidR="001100A1" w:rsidRPr="001100A1" w:rsidRDefault="001100A1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5"/>
          <w:szCs w:val="25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-про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роз'яснення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стягувану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права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досудового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розслідування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заявою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повідомленням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)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вчинене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полягає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зазначити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матеріалах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містяться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  факту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злісності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фіскальної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доходів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Центрі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квитанція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часткову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).</w:t>
      </w:r>
    </w:p>
    <w:p w:rsidR="001100A1" w:rsidRPr="001100A1" w:rsidRDefault="001100A1" w:rsidP="00BE0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20"/>
          <w:sz w:val="23"/>
          <w:szCs w:val="23"/>
          <w:lang w:eastAsia="ru-RU"/>
        </w:rPr>
      </w:pPr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Таким чином, з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огляду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викладене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сукупний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перевищує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суму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платежів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за три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місяці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державний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виконавець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чином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відповідної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заборгованості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lastRenderedPageBreak/>
        <w:t>аліментів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матеріалах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провадження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необхідних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факту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злісності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ухилення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роз'яснити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стягувача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досудового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розслідування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заявою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повідомленням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) про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вчинене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кримінальне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боржником</w:t>
      </w:r>
      <w:proofErr w:type="spellEnd"/>
      <w:r w:rsidRPr="001100A1">
        <w:rPr>
          <w:rFonts w:ascii="Times New Roman" w:eastAsia="Times New Roman" w:hAnsi="Times New Roman" w:cs="Times New Roman"/>
          <w:color w:val="001820"/>
          <w:sz w:val="28"/>
          <w:szCs w:val="28"/>
          <w:bdr w:val="none" w:sz="0" w:space="0" w:color="auto" w:frame="1"/>
          <w:lang w:eastAsia="ru-RU"/>
        </w:rPr>
        <w:t>.</w:t>
      </w:r>
    </w:p>
    <w:p w:rsidR="00B87BB8" w:rsidRPr="001100A1" w:rsidRDefault="00B87BB8" w:rsidP="00BE0D1F">
      <w:pPr>
        <w:spacing w:line="240" w:lineRule="auto"/>
        <w:ind w:firstLine="567"/>
        <w:rPr>
          <w:rFonts w:ascii="Times New Roman" w:hAnsi="Times New Roman" w:cs="Times New Roman"/>
        </w:rPr>
      </w:pPr>
    </w:p>
    <w:sectPr w:rsidR="00B87BB8" w:rsidRPr="001100A1" w:rsidSect="00BE0D1F">
      <w:pgSz w:w="11906" w:h="16838"/>
      <w:pgMar w:top="1276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A3988"/>
    <w:multiLevelType w:val="multilevel"/>
    <w:tmpl w:val="8402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A1"/>
    <w:rsid w:val="001100A1"/>
    <w:rsid w:val="00353F33"/>
    <w:rsid w:val="00681661"/>
    <w:rsid w:val="008A7DDD"/>
    <w:rsid w:val="00904A9E"/>
    <w:rsid w:val="00B44826"/>
    <w:rsid w:val="00B87BB8"/>
    <w:rsid w:val="00BE0D1F"/>
    <w:rsid w:val="00BF2623"/>
    <w:rsid w:val="00E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B5AC-5F2D-4F4A-804B-AD78E22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2019-03-26T09:34:00Z</cp:lastPrinted>
  <dcterms:created xsi:type="dcterms:W3CDTF">2019-04-03T13:42:00Z</dcterms:created>
  <dcterms:modified xsi:type="dcterms:W3CDTF">2019-04-03T13:42:00Z</dcterms:modified>
</cp:coreProperties>
</file>