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2" w:rsidRPr="00CB1BA4" w:rsidRDefault="009F3B7F" w:rsidP="00CB1BA4">
      <w:pPr>
        <w:ind w:left="-567" w:firstLine="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B1BA4">
        <w:rPr>
          <w:rFonts w:ascii="Times New Roman" w:hAnsi="Times New Roman" w:cs="Times New Roman"/>
          <w:b/>
          <w:sz w:val="32"/>
        </w:rPr>
        <w:t>Зупинення</w:t>
      </w:r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CB1BA4">
        <w:rPr>
          <w:rFonts w:ascii="Times New Roman" w:hAnsi="Times New Roman" w:cs="Times New Roman"/>
          <w:b/>
          <w:sz w:val="32"/>
        </w:rPr>
        <w:t>вчинення</w:t>
      </w:r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CB1BA4">
        <w:rPr>
          <w:rFonts w:ascii="Times New Roman" w:hAnsi="Times New Roman" w:cs="Times New Roman"/>
          <w:b/>
          <w:sz w:val="32"/>
        </w:rPr>
        <w:t>виконавчих</w:t>
      </w:r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CB1BA4">
        <w:rPr>
          <w:rFonts w:ascii="Times New Roman" w:hAnsi="Times New Roman" w:cs="Times New Roman"/>
          <w:b/>
          <w:sz w:val="32"/>
        </w:rPr>
        <w:t>дій</w:t>
      </w:r>
    </w:p>
    <w:p w:rsidR="009F3B7F" w:rsidRPr="00CB1BA4" w:rsidRDefault="009F3B7F" w:rsidP="00CB1BA4">
      <w:pPr>
        <w:ind w:left="-567" w:firstLine="567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виконання судового рішення можуть виникати обставини, що призводять до того, що виконавче провадження буде зупинено. </w:t>
      </w:r>
      <w:r w:rsidR="00CB1BA4" w:rsidRPr="00CB1BA4">
        <w:rPr>
          <w:rFonts w:ascii="Times New Roman" w:hAnsi="Times New Roman" w:cs="Times New Roman"/>
          <w:sz w:val="28"/>
        </w:rPr>
        <w:t xml:space="preserve">                                   </w:t>
      </w:r>
      <w:r w:rsidR="00CB1BA4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CB1BA4" w:rsidRPr="00CB1BA4">
        <w:rPr>
          <w:rFonts w:ascii="Times New Roman" w:hAnsi="Times New Roman" w:cs="Times New Roman"/>
          <w:i/>
          <w:sz w:val="28"/>
          <w:lang w:val="uk-UA"/>
        </w:rPr>
        <w:t>О</w:t>
      </w:r>
      <w:r w:rsidRPr="00CB1BA4">
        <w:rPr>
          <w:rFonts w:ascii="Times New Roman" w:hAnsi="Times New Roman" w:cs="Times New Roman"/>
          <w:i/>
          <w:sz w:val="28"/>
          <w:lang w:val="uk-UA"/>
        </w:rPr>
        <w:t>сновні причини та підстави для зупинення виконавчого провадження.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Виконавець </w:t>
      </w:r>
      <w:r>
        <w:rPr>
          <w:rFonts w:ascii="Times New Roman" w:hAnsi="Times New Roman" w:cs="Times New Roman"/>
          <w:sz w:val="28"/>
          <w:lang w:val="uk-UA"/>
        </w:rPr>
        <w:t>має право зупинити проведення виконавчих дій у разі: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1) боржником </w:t>
      </w:r>
      <w:r>
        <w:rPr>
          <w:rFonts w:ascii="Times New Roman" w:hAnsi="Times New Roman" w:cs="Times New Roman"/>
          <w:sz w:val="28"/>
          <w:lang w:val="uk-UA"/>
        </w:rPr>
        <w:t>проходить строкову військову службу, військову службу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за призовом осіб</w:t>
      </w:r>
      <w:r>
        <w:rPr>
          <w:rFonts w:ascii="Times New Roman" w:hAnsi="Times New Roman" w:cs="Times New Roman"/>
          <w:sz w:val="28"/>
          <w:lang w:val="uk-UA"/>
        </w:rPr>
        <w:t xml:space="preserve"> офіцерського складу, військову службу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за призовом під час мобілізації, на особливий період,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2) </w:t>
      </w:r>
      <w:r w:rsidR="00DD6DB7">
        <w:rPr>
          <w:rFonts w:ascii="Times New Roman" w:hAnsi="Times New Roman" w:cs="Times New Roman"/>
          <w:sz w:val="28"/>
          <w:lang w:val="uk-UA"/>
        </w:rPr>
        <w:t>суд зупиняє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стягнення на </w:t>
      </w:r>
      <w:r>
        <w:rPr>
          <w:rFonts w:ascii="Times New Roman" w:hAnsi="Times New Roman" w:cs="Times New Roman"/>
          <w:sz w:val="28"/>
          <w:lang w:val="uk-UA"/>
        </w:rPr>
        <w:t>підставі виконавчого документа;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3) судом </w:t>
      </w:r>
      <w:r w:rsidR="00DD6DB7">
        <w:rPr>
          <w:rFonts w:ascii="Times New Roman" w:hAnsi="Times New Roman" w:cs="Times New Roman"/>
          <w:sz w:val="28"/>
          <w:lang w:val="uk-UA"/>
        </w:rPr>
        <w:t>зупиняє реалізацію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арештованого майна у разі відсутності іншого майна боржника, на яке може бути звернен</w:t>
      </w:r>
      <w:r>
        <w:rPr>
          <w:rFonts w:ascii="Times New Roman" w:hAnsi="Times New Roman" w:cs="Times New Roman"/>
          <w:sz w:val="28"/>
          <w:lang w:val="uk-UA"/>
        </w:rPr>
        <w:t>о стягнення;</w:t>
      </w:r>
    </w:p>
    <w:p w:rsidR="00E4061C" w:rsidRPr="00E4061C" w:rsidRDefault="00DD6DB7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 господарський суд порушив</w:t>
      </w:r>
      <w:r w:rsidR="00E4061C" w:rsidRPr="00E4061C">
        <w:rPr>
          <w:rFonts w:ascii="Times New Roman" w:hAnsi="Times New Roman" w:cs="Times New Roman"/>
          <w:sz w:val="28"/>
          <w:lang w:val="uk-UA"/>
        </w:rPr>
        <w:t xml:space="preserve"> провадження у справі про банкрутство боржника, якщо відповідно до закону на вимогу стягувача поширюється дія мораторію, запр</w:t>
      </w:r>
      <w:r>
        <w:rPr>
          <w:rFonts w:ascii="Times New Roman" w:hAnsi="Times New Roman" w:cs="Times New Roman"/>
          <w:sz w:val="28"/>
          <w:lang w:val="uk-UA"/>
        </w:rPr>
        <w:t>овадженого господарським судом;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5</w:t>
      </w:r>
      <w:r w:rsidR="00DD6DB7">
        <w:rPr>
          <w:rFonts w:ascii="Times New Roman" w:hAnsi="Times New Roman" w:cs="Times New Roman"/>
          <w:sz w:val="28"/>
          <w:lang w:val="uk-UA"/>
        </w:rPr>
        <w:t>) виконавець або зацікавлена особа звернулася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до суду із заявою про заміну вибулої сторони правонаступником у порядку, встановленому частиною</w:t>
      </w:r>
      <w:r>
        <w:rPr>
          <w:rFonts w:ascii="Times New Roman" w:hAnsi="Times New Roman" w:cs="Times New Roman"/>
          <w:sz w:val="28"/>
          <w:lang w:val="uk-UA"/>
        </w:rPr>
        <w:t xml:space="preserve"> п’ятою статті 15 цього Закону;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6) </w:t>
      </w:r>
      <w:r w:rsidR="00DD6DB7">
        <w:rPr>
          <w:rFonts w:ascii="Times New Roman" w:hAnsi="Times New Roman" w:cs="Times New Roman"/>
          <w:sz w:val="28"/>
          <w:lang w:val="uk-UA"/>
        </w:rPr>
        <w:t>суд</w:t>
      </w:r>
      <w:r w:rsidRPr="00E4061C">
        <w:rPr>
          <w:rFonts w:ascii="Times New Roman" w:hAnsi="Times New Roman" w:cs="Times New Roman"/>
          <w:sz w:val="28"/>
          <w:lang w:val="uk-UA"/>
        </w:rPr>
        <w:t>, який видав виконавчий документ</w:t>
      </w:r>
      <w:r w:rsidR="00DD6DB7">
        <w:rPr>
          <w:rFonts w:ascii="Times New Roman" w:hAnsi="Times New Roman" w:cs="Times New Roman"/>
          <w:sz w:val="28"/>
          <w:lang w:val="uk-UA"/>
        </w:rPr>
        <w:t>, надав відстрочку виконання рішення;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7) пі</w:t>
      </w:r>
      <w:r w:rsidR="00DD6DB7">
        <w:rPr>
          <w:rFonts w:ascii="Times New Roman" w:hAnsi="Times New Roman" w:cs="Times New Roman"/>
          <w:sz w:val="28"/>
          <w:lang w:val="uk-UA"/>
        </w:rPr>
        <w:t>дприємство включено до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паливно-енергетичного комплексу до Реєстру підприємств паливно-енергетичного комплексу, які беруть участь у процедурі погашення заборгованості, яка виникла внаслідок розрахунків за енергоносії з урахуванням дати заборгованості відповідно до Зако</w:t>
      </w:r>
      <w:r w:rsidR="008C4AE9">
        <w:rPr>
          <w:rFonts w:ascii="Times New Roman" w:hAnsi="Times New Roman" w:cs="Times New Roman"/>
          <w:sz w:val="28"/>
          <w:lang w:val="uk-UA"/>
        </w:rPr>
        <w:t>ну України «</w:t>
      </w:r>
      <w:r w:rsidRPr="00E4061C">
        <w:rPr>
          <w:rFonts w:ascii="Times New Roman" w:hAnsi="Times New Roman" w:cs="Times New Roman"/>
          <w:sz w:val="28"/>
          <w:lang w:val="uk-UA"/>
        </w:rPr>
        <w:t>Про заходи, спрямовані на забезпечення сталого функціонування підприємств паливно-енергетичного комплексу</w:t>
      </w:r>
      <w:r w:rsidR="008C4AE9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8) затверджен</w:t>
      </w:r>
      <w:r w:rsidR="008C4AE9">
        <w:rPr>
          <w:rFonts w:ascii="Times New Roman" w:hAnsi="Times New Roman" w:cs="Times New Roman"/>
          <w:sz w:val="28"/>
          <w:lang w:val="uk-UA"/>
        </w:rPr>
        <w:t>о</w:t>
      </w:r>
      <w:r w:rsidR="00CB1BA4">
        <w:rPr>
          <w:rFonts w:ascii="Times New Roman" w:hAnsi="Times New Roman" w:cs="Times New Roman"/>
          <w:sz w:val="28"/>
          <w:lang w:val="uk-UA"/>
        </w:rPr>
        <w:t xml:space="preserve"> </w:t>
      </w:r>
      <w:r w:rsidR="008C4AE9">
        <w:rPr>
          <w:rFonts w:ascii="Times New Roman" w:hAnsi="Times New Roman" w:cs="Times New Roman"/>
          <w:sz w:val="28"/>
          <w:lang w:val="uk-UA"/>
        </w:rPr>
        <w:t>план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санації боржника до порушення провад</w:t>
      </w:r>
      <w:r>
        <w:rPr>
          <w:rFonts w:ascii="Times New Roman" w:hAnsi="Times New Roman" w:cs="Times New Roman"/>
          <w:sz w:val="28"/>
          <w:lang w:val="uk-UA"/>
        </w:rPr>
        <w:t>ження у справі про банкрутство;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9) надіслання виконавчого документа до центрального органу виконавчої влади, що реалізує державну політику у сфері казначейського обслуговування бюджетних коштів, у випадку, передбаченому частиною третьою статті 4 Закону України "Про гарантії держави </w:t>
      </w:r>
      <w:r>
        <w:rPr>
          <w:rFonts w:ascii="Times New Roman" w:hAnsi="Times New Roman" w:cs="Times New Roman"/>
          <w:sz w:val="28"/>
          <w:lang w:val="uk-UA"/>
        </w:rPr>
        <w:t>щодо виконання судових рішень";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lastRenderedPageBreak/>
        <w:t xml:space="preserve">10) </w:t>
      </w:r>
      <w:r w:rsidR="008C4AE9">
        <w:rPr>
          <w:rFonts w:ascii="Times New Roman" w:hAnsi="Times New Roman" w:cs="Times New Roman"/>
          <w:sz w:val="28"/>
          <w:lang w:val="uk-UA"/>
        </w:rPr>
        <w:t>підприємство включено до підприємств</w:t>
      </w:r>
      <w:r w:rsidRPr="00E4061C">
        <w:rPr>
          <w:rFonts w:ascii="Times New Roman" w:hAnsi="Times New Roman" w:cs="Times New Roman"/>
          <w:sz w:val="28"/>
          <w:lang w:val="uk-UA"/>
        </w:rPr>
        <w:t>, що виробляють, транспортують та постачають теплову енергію, надають послуги з централізованого опалення та постачання гарячої води, підприємств централізованого водопостачання та водовідведення, що надають послуги з централізованого водопостачання та водовідведення, послуги з постачання холодної води та послуги з водовідведення (з використанням внутрішньобудинкових систем), до реєстру підприємств, що беруть участь у процедурі врегулювання заборгованост</w:t>
      </w:r>
      <w:r w:rsidR="008C4AE9">
        <w:rPr>
          <w:rFonts w:ascii="Times New Roman" w:hAnsi="Times New Roman" w:cs="Times New Roman"/>
          <w:sz w:val="28"/>
          <w:lang w:val="uk-UA"/>
        </w:rPr>
        <w:t>і відповідно до Закону України «</w:t>
      </w:r>
      <w:r w:rsidRPr="00E4061C">
        <w:rPr>
          <w:rFonts w:ascii="Times New Roman" w:hAnsi="Times New Roman" w:cs="Times New Roman"/>
          <w:sz w:val="28"/>
          <w:lang w:val="uk-UA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</w:t>
      </w:r>
      <w:r w:rsidR="008C4AE9">
        <w:rPr>
          <w:rFonts w:ascii="Times New Roman" w:hAnsi="Times New Roman" w:cs="Times New Roman"/>
          <w:sz w:val="28"/>
          <w:lang w:val="uk-UA"/>
        </w:rPr>
        <w:t>»;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11) встановлення мораторію на звернення стягнення на активи боржника за зобов’язаннями підприємств залізничного транспорту, майно яких розміщене на території проведення антитерористичної операції, на якій органи державної влади тимчасово н</w:t>
      </w:r>
      <w:r>
        <w:rPr>
          <w:rFonts w:ascii="Times New Roman" w:hAnsi="Times New Roman" w:cs="Times New Roman"/>
          <w:sz w:val="28"/>
          <w:lang w:val="uk-UA"/>
        </w:rPr>
        <w:t>е здійснюють свої повноваження;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12) включення державних підприємств або пакетів акцій (часток) господарських товариств до переліку об’єктів малої або великої приватизації, що підлягають приватизації.</w:t>
      </w:r>
    </w:p>
    <w:p w:rsidR="009F3B7F" w:rsidRPr="009F3B7F" w:rsidRDefault="009F3B7F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9F3B7F" w:rsidRPr="009F3B7F" w:rsidSect="00A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3"/>
    <w:rsid w:val="00410C93"/>
    <w:rsid w:val="008C4AE9"/>
    <w:rsid w:val="009F3B7F"/>
    <w:rsid w:val="00A2034E"/>
    <w:rsid w:val="00C31F65"/>
    <w:rsid w:val="00C92ED8"/>
    <w:rsid w:val="00CB1BA4"/>
    <w:rsid w:val="00D66CCE"/>
    <w:rsid w:val="00DD6DB7"/>
    <w:rsid w:val="00E4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Єлінська Валентина Василівна</cp:lastModifiedBy>
  <cp:revision>2</cp:revision>
  <dcterms:created xsi:type="dcterms:W3CDTF">2018-12-11T06:24:00Z</dcterms:created>
  <dcterms:modified xsi:type="dcterms:W3CDTF">2018-12-11T06:24:00Z</dcterms:modified>
</cp:coreProperties>
</file>